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A8083" w14:textId="1E32E10E" w:rsidR="00DD62DD" w:rsidRPr="00FF34B1" w:rsidRDefault="00451FE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POS</w:t>
      </w:r>
      <w:r w:rsidR="004E091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-</w:t>
      </w:r>
      <w:r w:rsidR="004E0912">
        <w:rPr>
          <w:b/>
          <w:bCs/>
          <w:sz w:val="28"/>
          <w:szCs w:val="28"/>
        </w:rPr>
        <w:t xml:space="preserve"> PULA</w:t>
      </w:r>
    </w:p>
    <w:p w14:paraId="192ABB03" w14:textId="77777777" w:rsidR="004E0912" w:rsidRPr="004E0912" w:rsidRDefault="004E0912" w:rsidP="004E0912">
      <w:pPr>
        <w:rPr>
          <w:sz w:val="24"/>
          <w:szCs w:val="24"/>
        </w:rPr>
      </w:pPr>
      <w:r w:rsidRPr="004E0912">
        <w:rPr>
          <w:sz w:val="24"/>
          <w:szCs w:val="24"/>
        </w:rPr>
        <w:t>Građevina stambene namjene- višestambena građevina s ukupno 65 stanova, na k.č.br. 1813/13, k.o. Pula, Šandaljska ulica Pula.</w:t>
      </w:r>
    </w:p>
    <w:p w14:paraId="3911ABDA" w14:textId="6255058A" w:rsidR="004E0912" w:rsidRPr="004E0912" w:rsidRDefault="004E0912" w:rsidP="007A0B09">
      <w:pPr>
        <w:jc w:val="both"/>
        <w:rPr>
          <w:sz w:val="24"/>
          <w:szCs w:val="24"/>
        </w:rPr>
      </w:pPr>
      <w:r w:rsidRPr="004E0912">
        <w:rPr>
          <w:sz w:val="24"/>
          <w:szCs w:val="24"/>
        </w:rPr>
        <w:t>Građevinska dozvola izdana 30.10.2024.g</w:t>
      </w:r>
      <w:r w:rsidR="007A0B09">
        <w:rPr>
          <w:sz w:val="24"/>
          <w:szCs w:val="24"/>
        </w:rPr>
        <w:t>odine</w:t>
      </w:r>
      <w:r w:rsidRPr="004E0912">
        <w:rPr>
          <w:sz w:val="24"/>
          <w:szCs w:val="24"/>
        </w:rPr>
        <w:t xml:space="preserve"> u skladu s glavnim projektom izrađenim od strane trgovačkog društva TRINAS INŽENJERING d.o.o., Osijek, glavni projektant Ante Grubišić, mag.ing.aedif.</w:t>
      </w:r>
    </w:p>
    <w:p w14:paraId="2C6813F3" w14:textId="77777777" w:rsidR="004E0912" w:rsidRDefault="004E0912" w:rsidP="004E0912">
      <w:pPr>
        <w:rPr>
          <w:sz w:val="24"/>
          <w:szCs w:val="24"/>
        </w:rPr>
      </w:pPr>
      <w:r w:rsidRPr="004E0912">
        <w:rPr>
          <w:sz w:val="24"/>
          <w:szCs w:val="24"/>
        </w:rPr>
        <w:t>Građevina je katnosti Po+Pr+4, sastoji se od tri dilatacijske cjeline.</w:t>
      </w:r>
    </w:p>
    <w:p w14:paraId="3D64A4EE" w14:textId="77777777" w:rsidR="00C171BE" w:rsidRPr="00C171BE" w:rsidRDefault="00C171BE" w:rsidP="00C171BE">
      <w:pPr>
        <w:rPr>
          <w:sz w:val="24"/>
          <w:szCs w:val="24"/>
        </w:rPr>
      </w:pPr>
      <w:r w:rsidRPr="00C171BE">
        <w:rPr>
          <w:sz w:val="24"/>
          <w:szCs w:val="24"/>
        </w:rPr>
        <w:t>dilatacija „A“ - Po+Pr+4</w:t>
      </w:r>
    </w:p>
    <w:p w14:paraId="0AD0E603" w14:textId="77777777" w:rsidR="00C171BE" w:rsidRPr="00C171BE" w:rsidRDefault="00C171BE" w:rsidP="00C171BE">
      <w:pPr>
        <w:rPr>
          <w:sz w:val="24"/>
          <w:szCs w:val="24"/>
        </w:rPr>
      </w:pPr>
      <w:r w:rsidRPr="00C171BE">
        <w:rPr>
          <w:sz w:val="24"/>
          <w:szCs w:val="24"/>
        </w:rPr>
        <w:t>dilatacija „B“ - Po+Pr+4</w:t>
      </w:r>
    </w:p>
    <w:p w14:paraId="2380DA49" w14:textId="35C46050" w:rsidR="00C171BE" w:rsidRPr="004E0912" w:rsidRDefault="00C171BE" w:rsidP="00C171BE">
      <w:pPr>
        <w:rPr>
          <w:sz w:val="24"/>
          <w:szCs w:val="24"/>
        </w:rPr>
      </w:pPr>
      <w:r w:rsidRPr="00C171BE">
        <w:rPr>
          <w:sz w:val="24"/>
          <w:szCs w:val="24"/>
        </w:rPr>
        <w:t>dilatacija „C“ – Po</w:t>
      </w:r>
    </w:p>
    <w:p w14:paraId="31283347" w14:textId="77777777" w:rsidR="00244CB3" w:rsidRPr="004E0912" w:rsidRDefault="00244CB3" w:rsidP="00244CB3">
      <w:pPr>
        <w:jc w:val="both"/>
        <w:rPr>
          <w:sz w:val="24"/>
          <w:szCs w:val="24"/>
          <w:highlight w:val="yellow"/>
        </w:rPr>
      </w:pPr>
      <w:r w:rsidRPr="00C171BE">
        <w:rPr>
          <w:sz w:val="24"/>
          <w:szCs w:val="24"/>
        </w:rPr>
        <w:t>U dilataciji „A“ nalazi se sveukupno 31 stambena jedinica (3 stambene jedinice u prizemlju te još 7 stambenih jedinica na preostalim etažama). U dilataciji „B“ nalazi se sveukupno 34 stambene jedinice (2 stambene jedinice u prizemlju te još 8 stambenih jedinica na preostalim etažama).</w:t>
      </w:r>
    </w:p>
    <w:p w14:paraId="2FD225B9" w14:textId="74D64CAD" w:rsidR="004E0912" w:rsidRPr="004E0912" w:rsidRDefault="00C171BE" w:rsidP="004E0912">
      <w:pPr>
        <w:rPr>
          <w:sz w:val="24"/>
          <w:szCs w:val="24"/>
        </w:rPr>
      </w:pPr>
      <w:r w:rsidRPr="00C171BE">
        <w:rPr>
          <w:noProof/>
          <w:sz w:val="24"/>
          <w:szCs w:val="24"/>
        </w:rPr>
        <w:drawing>
          <wp:inline distT="0" distB="0" distL="0" distR="0" wp14:anchorId="0CF36D6F" wp14:editId="0A9E4554">
            <wp:extent cx="4295775" cy="3019425"/>
            <wp:effectExtent l="0" t="0" r="9525" b="9525"/>
            <wp:docPr id="119875023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DB158" w14:textId="77777777" w:rsidR="00C171BE" w:rsidRPr="00C171BE" w:rsidRDefault="00C171BE" w:rsidP="00244CB3">
      <w:pPr>
        <w:jc w:val="both"/>
        <w:rPr>
          <w:sz w:val="24"/>
          <w:szCs w:val="24"/>
        </w:rPr>
      </w:pPr>
      <w:r w:rsidRPr="00C171BE">
        <w:rPr>
          <w:sz w:val="24"/>
          <w:szCs w:val="24"/>
        </w:rPr>
        <w:t>U podrumu zgrade nalazi se 66 garažnih parkirnih mjesta, a preostalih 25 parkirališnih mjesta smješteno je na vanjskoj površini. U prizemlju dilatacije „A“ nalazi se 31 spremište, dok se u prizemlju dilatacije „B“ nalazi 34 spremišta, odnosno po jedno spremište za svaku stambenu jedinicu.</w:t>
      </w:r>
    </w:p>
    <w:p w14:paraId="6FF06828" w14:textId="74D8A862" w:rsidR="00DA033A" w:rsidRPr="00AF2167" w:rsidRDefault="00DA033A" w:rsidP="00CF7EB1">
      <w:pPr>
        <w:rPr>
          <w:sz w:val="24"/>
          <w:szCs w:val="24"/>
        </w:rPr>
      </w:pPr>
      <w:r w:rsidRPr="00AF2167">
        <w:rPr>
          <w:sz w:val="24"/>
          <w:szCs w:val="24"/>
        </w:rPr>
        <w:t>Krovna konstrukcija je armiranobetonska– ravni neprohodni krov.</w:t>
      </w:r>
    </w:p>
    <w:p w14:paraId="13A7A4E6" w14:textId="77777777" w:rsidR="00AF2167" w:rsidRDefault="00AF2167" w:rsidP="00CF7EB1">
      <w:pPr>
        <w:rPr>
          <w:sz w:val="24"/>
          <w:szCs w:val="24"/>
        </w:rPr>
      </w:pPr>
      <w:r w:rsidRPr="00AF2167">
        <w:rPr>
          <w:sz w:val="24"/>
          <w:szCs w:val="24"/>
        </w:rPr>
        <w:t>Fasadu izvesti od kamene vune debljine 10 cm, ETICS sustav</w:t>
      </w:r>
    </w:p>
    <w:p w14:paraId="49E6E026" w14:textId="70F03F28" w:rsidR="00FF34B1" w:rsidRPr="00AF2167" w:rsidRDefault="00D47758" w:rsidP="00CF7EB1">
      <w:pPr>
        <w:rPr>
          <w:sz w:val="24"/>
          <w:szCs w:val="24"/>
        </w:rPr>
      </w:pPr>
      <w:r w:rsidRPr="00AF2167">
        <w:rPr>
          <w:sz w:val="24"/>
          <w:szCs w:val="24"/>
        </w:rPr>
        <w:lastRenderedPageBreak/>
        <w:t xml:space="preserve">Završna obrada unutarnjih zidova i stropova žbukanjem te bojanjem </w:t>
      </w:r>
    </w:p>
    <w:p w14:paraId="07C444D1" w14:textId="0A6E2AFC" w:rsidR="003326C6" w:rsidRPr="00AF2167" w:rsidRDefault="003326C6" w:rsidP="003326C6">
      <w:pPr>
        <w:jc w:val="both"/>
        <w:rPr>
          <w:sz w:val="24"/>
          <w:szCs w:val="24"/>
        </w:rPr>
      </w:pPr>
      <w:r w:rsidRPr="00AF2167">
        <w:rPr>
          <w:sz w:val="24"/>
          <w:szCs w:val="24"/>
        </w:rPr>
        <w:t xml:space="preserve">Završne obloge podova pojedinih prostora previđeni su prema namjeni pojedinih prostorija. Podovi u svim prostorijama obrađuju se završno cementnom glazurom a </w:t>
      </w:r>
      <w:r w:rsidR="00BE2E6D" w:rsidRPr="00AF2167">
        <w:rPr>
          <w:sz w:val="24"/>
          <w:szCs w:val="24"/>
        </w:rPr>
        <w:t xml:space="preserve">na </w:t>
      </w:r>
      <w:r w:rsidRPr="00AF2167">
        <w:rPr>
          <w:sz w:val="24"/>
          <w:szCs w:val="24"/>
        </w:rPr>
        <w:t>glazuru se polaže protuklizna keramika i parket (ovisno o namjeni prostorije).</w:t>
      </w:r>
    </w:p>
    <w:p w14:paraId="5FCBDFB7" w14:textId="6B41C157" w:rsidR="00D47758" w:rsidRPr="00AF2167" w:rsidRDefault="00D47758" w:rsidP="003326C6">
      <w:pPr>
        <w:rPr>
          <w:sz w:val="24"/>
          <w:szCs w:val="24"/>
        </w:rPr>
      </w:pPr>
      <w:r w:rsidRPr="00AF2167">
        <w:rPr>
          <w:sz w:val="24"/>
          <w:szCs w:val="24"/>
        </w:rPr>
        <w:t>Vanjska stolarija od PVC-a (troslojno IZO staklo). Unutarnja stolarija drvena.</w:t>
      </w:r>
    </w:p>
    <w:p w14:paraId="1FDC21E8" w14:textId="64E1B37C" w:rsidR="00AF2167" w:rsidRPr="00AF2167" w:rsidRDefault="00AF2167" w:rsidP="00AF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građevini su </w:t>
      </w:r>
      <w:r w:rsidRPr="00AF2167">
        <w:rPr>
          <w:sz w:val="24"/>
          <w:szCs w:val="24"/>
        </w:rPr>
        <w:t>svi uobičajeni priključci i instalacije: električna mreža, plinovodna opskrba, vodoopskrba i odvodnja otpadnih i oborinskih voda, a sve prema uvjetima nadležnih javnopravnih tijela.</w:t>
      </w:r>
    </w:p>
    <w:p w14:paraId="532FA3A0" w14:textId="5127795B" w:rsidR="003326C6" w:rsidRPr="004E0912" w:rsidRDefault="00AF2167" w:rsidP="00AF2167">
      <w:pPr>
        <w:jc w:val="both"/>
        <w:rPr>
          <w:sz w:val="24"/>
          <w:szCs w:val="24"/>
          <w:highlight w:val="yellow"/>
        </w:rPr>
      </w:pPr>
      <w:r w:rsidRPr="00AF2167">
        <w:rPr>
          <w:sz w:val="24"/>
          <w:szCs w:val="24"/>
        </w:rPr>
        <w:t>Priključenje instalacije vodoopskrbe za predmetnu građevinu, izvodi se na javni sustav</w:t>
      </w:r>
      <w:r>
        <w:rPr>
          <w:sz w:val="24"/>
          <w:szCs w:val="24"/>
        </w:rPr>
        <w:t xml:space="preserve"> </w:t>
      </w:r>
      <w:r w:rsidRPr="00AF2167">
        <w:rPr>
          <w:sz w:val="24"/>
          <w:szCs w:val="24"/>
        </w:rPr>
        <w:t>Priprema tople vode vršiti će se plinskim akumulacijskim bojlerima smještenima u kupaonici ili u ostavi, u svakom stanu po jedan.</w:t>
      </w:r>
    </w:p>
    <w:p w14:paraId="7CE422D6" w14:textId="77777777" w:rsidR="00AF2167" w:rsidRDefault="00AF2167" w:rsidP="00AF2167">
      <w:pPr>
        <w:jc w:val="both"/>
        <w:rPr>
          <w:sz w:val="24"/>
          <w:szCs w:val="24"/>
        </w:rPr>
      </w:pPr>
      <w:r w:rsidRPr="00AF2167">
        <w:rPr>
          <w:sz w:val="24"/>
          <w:szCs w:val="24"/>
        </w:rPr>
        <w:t>Za hlađenje i primarno grijanje predviđene su toplinske pumpe zrak-zrak. Smještaj vanjskih jedinica je predviđen na terasama. Razmještaj unutarnjih jedinica je zidno podstropno. Plinski kondenzacijski kombi bojleri služe za pripremu tople vode i kao rezervna varijanta za radijatorsko grijanje građevine pri najnižim temperaturama.</w:t>
      </w:r>
    </w:p>
    <w:p w14:paraId="28F37A1D" w14:textId="039168A3" w:rsidR="005D759F" w:rsidRPr="00CC523E" w:rsidRDefault="00BE2E6D" w:rsidP="00AF2167">
      <w:pPr>
        <w:jc w:val="both"/>
        <w:rPr>
          <w:sz w:val="24"/>
          <w:szCs w:val="24"/>
        </w:rPr>
      </w:pPr>
      <w:r w:rsidRPr="007A0B09">
        <w:rPr>
          <w:sz w:val="24"/>
          <w:szCs w:val="24"/>
        </w:rPr>
        <w:t>Projektom je predviđena ugradnja dizala</w:t>
      </w:r>
      <w:r w:rsidR="005D759F" w:rsidRPr="007A0B09">
        <w:rPr>
          <w:sz w:val="24"/>
          <w:szCs w:val="24"/>
        </w:rPr>
        <w:t>.</w:t>
      </w:r>
    </w:p>
    <w:p w14:paraId="318199AC" w14:textId="0F6C68E0" w:rsidR="00EB0C32" w:rsidRPr="00CC523E" w:rsidRDefault="00EB0C32" w:rsidP="00BE2E6D">
      <w:pPr>
        <w:rPr>
          <w:sz w:val="24"/>
          <w:szCs w:val="24"/>
        </w:rPr>
      </w:pPr>
    </w:p>
    <w:sectPr w:rsidR="00EB0C32" w:rsidRPr="00CC523E" w:rsidSect="0090166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EB1"/>
    <w:rsid w:val="00167780"/>
    <w:rsid w:val="00244CB3"/>
    <w:rsid w:val="00257270"/>
    <w:rsid w:val="002A0F70"/>
    <w:rsid w:val="002F7032"/>
    <w:rsid w:val="003326C6"/>
    <w:rsid w:val="00373808"/>
    <w:rsid w:val="003F2B16"/>
    <w:rsid w:val="00442F8D"/>
    <w:rsid w:val="004512D6"/>
    <w:rsid w:val="00451FEC"/>
    <w:rsid w:val="004E0912"/>
    <w:rsid w:val="00561D4A"/>
    <w:rsid w:val="005D1CD2"/>
    <w:rsid w:val="005D759F"/>
    <w:rsid w:val="005E1D47"/>
    <w:rsid w:val="00660D8C"/>
    <w:rsid w:val="007A0B09"/>
    <w:rsid w:val="0090166B"/>
    <w:rsid w:val="00A33CCA"/>
    <w:rsid w:val="00AF2167"/>
    <w:rsid w:val="00B6783A"/>
    <w:rsid w:val="00BE2E6D"/>
    <w:rsid w:val="00C171BE"/>
    <w:rsid w:val="00CC523E"/>
    <w:rsid w:val="00CF7EB1"/>
    <w:rsid w:val="00D47758"/>
    <w:rsid w:val="00DA033A"/>
    <w:rsid w:val="00DD62DD"/>
    <w:rsid w:val="00E72FE0"/>
    <w:rsid w:val="00EB0C32"/>
    <w:rsid w:val="00FF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FFF9F"/>
  <w15:chartTrackingRefBased/>
  <w15:docId w15:val="{0D8D6F8A-5A61-48F6-88AD-DC9F0488E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F7E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F7E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F7E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F7E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F7E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F7E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F7E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F7E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F7E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F7E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F7E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F7E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F7EB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F7EB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F7EB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F7EB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F7EB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F7EB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F7E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F7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F7E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F7E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F7E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F7EB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F7EB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F7EB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F7E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F7EB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F7E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Jurič</dc:creator>
  <cp:keywords/>
  <dc:description/>
  <cp:lastModifiedBy>Iva Jurič</cp:lastModifiedBy>
  <cp:revision>3</cp:revision>
  <cp:lastPrinted>2026-09-22T09:13:00Z</cp:lastPrinted>
  <dcterms:created xsi:type="dcterms:W3CDTF">2026-09-22T07:35:00Z</dcterms:created>
  <dcterms:modified xsi:type="dcterms:W3CDTF">2026-09-22T09:18:00Z</dcterms:modified>
</cp:coreProperties>
</file>